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B98" w14:textId="562235B9" w:rsidR="0065422D" w:rsidRPr="000E6D0C" w:rsidRDefault="003C58BA">
      <w:pPr>
        <w:jc w:val="center"/>
        <w:rPr>
          <w:rFonts w:ascii="宋体" w:eastAsia="宋体" w:hAnsi="宋体" w:hint="eastAsia"/>
          <w:b/>
          <w:bCs/>
        </w:rPr>
      </w:pPr>
      <w:proofErr w:type="gramStart"/>
      <w:r w:rsidRPr="000E6D0C">
        <w:rPr>
          <w:rFonts w:ascii="宋体" w:eastAsia="宋体" w:hAnsi="宋体" w:hint="eastAsia"/>
          <w:b/>
          <w:bCs/>
        </w:rPr>
        <w:t>房建表</w:t>
      </w:r>
      <w:proofErr w:type="gramEnd"/>
      <w:r w:rsidRPr="000E6D0C">
        <w:rPr>
          <w:rFonts w:ascii="宋体" w:eastAsia="宋体" w:hAnsi="宋体" w:hint="eastAsia"/>
          <w:b/>
          <w:bCs/>
        </w:rPr>
        <w:t>B</w:t>
      </w:r>
      <w:r w:rsidR="00E13722" w:rsidRPr="000E6D0C">
        <w:rPr>
          <w:rFonts w:ascii="宋体" w:eastAsia="宋体" w:hAnsi="宋体" w:hint="eastAsia"/>
          <w:b/>
          <w:bCs/>
        </w:rPr>
        <w:t>.</w:t>
      </w:r>
      <w:r w:rsidRPr="000E6D0C">
        <w:rPr>
          <w:rFonts w:ascii="宋体" w:eastAsia="宋体" w:hAnsi="宋体" w:hint="eastAsia"/>
          <w:b/>
          <w:bCs/>
        </w:rPr>
        <w:t>2  文明施工、绿色施工、扬尘防治评价评分表</w:t>
      </w:r>
    </w:p>
    <w:tbl>
      <w:tblPr>
        <w:tblStyle w:val="a7"/>
        <w:tblW w:w="8931" w:type="dxa"/>
        <w:tblInd w:w="-289" w:type="dxa"/>
        <w:tblLook w:val="04A0" w:firstRow="1" w:lastRow="0" w:firstColumn="1" w:lastColumn="0" w:noHBand="0" w:noVBand="1"/>
      </w:tblPr>
      <w:tblGrid>
        <w:gridCol w:w="715"/>
        <w:gridCol w:w="1129"/>
        <w:gridCol w:w="5386"/>
        <w:gridCol w:w="851"/>
        <w:gridCol w:w="850"/>
      </w:tblGrid>
      <w:tr w:rsidR="0065422D" w14:paraId="12B136BE" w14:textId="77777777">
        <w:tc>
          <w:tcPr>
            <w:tcW w:w="715" w:type="dxa"/>
          </w:tcPr>
          <w:p w14:paraId="4DBA704C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</w:tcPr>
          <w:p w14:paraId="04730162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评价指标</w:t>
            </w:r>
          </w:p>
        </w:tc>
        <w:tc>
          <w:tcPr>
            <w:tcW w:w="5386" w:type="dxa"/>
          </w:tcPr>
          <w:p w14:paraId="4B08C40C" w14:textId="77777777" w:rsidR="0065422D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标准要求</w:t>
            </w:r>
          </w:p>
        </w:tc>
        <w:tc>
          <w:tcPr>
            <w:tcW w:w="1701" w:type="dxa"/>
            <w:gridSpan w:val="2"/>
          </w:tcPr>
          <w:p w14:paraId="3D020CC8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评价结果</w:t>
            </w:r>
          </w:p>
        </w:tc>
      </w:tr>
      <w:tr w:rsidR="0065422D" w14:paraId="33CD53A4" w14:textId="77777777">
        <w:tc>
          <w:tcPr>
            <w:tcW w:w="715" w:type="dxa"/>
            <w:vMerge w:val="restart"/>
          </w:tcPr>
          <w:p w14:paraId="338DC195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vMerge w:val="restart"/>
          </w:tcPr>
          <w:p w14:paraId="6048518F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控制项</w:t>
            </w:r>
          </w:p>
        </w:tc>
        <w:tc>
          <w:tcPr>
            <w:tcW w:w="5386" w:type="dxa"/>
          </w:tcPr>
          <w:p w14:paraId="5284CB3F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在市区主要路段的工地周围应设置高于2.5m、一般路段高于1.8m的封闭围挡</w:t>
            </w:r>
          </w:p>
        </w:tc>
        <w:tc>
          <w:tcPr>
            <w:tcW w:w="1701" w:type="dxa"/>
            <w:gridSpan w:val="2"/>
          </w:tcPr>
          <w:p w14:paraId="3ECC044A" w14:textId="77777777" w:rsidR="0065422D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65422D" w14:paraId="3E5A0B3F" w14:textId="77777777">
        <w:tc>
          <w:tcPr>
            <w:tcW w:w="715" w:type="dxa"/>
            <w:vMerge/>
          </w:tcPr>
          <w:p w14:paraId="670E7C5D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31C5E80F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0644CFC" w14:textId="1D30C3EA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尚未竣工的建筑物内严禁</w:t>
            </w:r>
            <w:r w:rsidR="00CE45AA">
              <w:rPr>
                <w:rFonts w:ascii="宋体" w:eastAsia="宋体" w:hAnsi="宋体" w:hint="eastAsia"/>
                <w:szCs w:val="21"/>
              </w:rPr>
              <w:t>设置住人</w:t>
            </w:r>
          </w:p>
        </w:tc>
        <w:tc>
          <w:tcPr>
            <w:tcW w:w="1701" w:type="dxa"/>
            <w:gridSpan w:val="2"/>
          </w:tcPr>
          <w:p w14:paraId="1C24799C" w14:textId="77777777" w:rsidR="0065422D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符合不符合□</w:t>
            </w:r>
          </w:p>
        </w:tc>
      </w:tr>
      <w:tr w:rsidR="0065422D" w14:paraId="690FD147" w14:textId="77777777">
        <w:tc>
          <w:tcPr>
            <w:tcW w:w="715" w:type="dxa"/>
            <w:vMerge/>
          </w:tcPr>
          <w:p w14:paraId="1F6E44DC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4545EA5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13BFDF06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施工现场应实行“实名制”管理</w:t>
            </w:r>
          </w:p>
        </w:tc>
        <w:tc>
          <w:tcPr>
            <w:tcW w:w="1701" w:type="dxa"/>
            <w:gridSpan w:val="2"/>
          </w:tcPr>
          <w:p w14:paraId="7E71A690" w14:textId="77777777" w:rsidR="0065422D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65422D" w14:paraId="255CF190" w14:textId="77777777">
        <w:tc>
          <w:tcPr>
            <w:tcW w:w="715" w:type="dxa"/>
            <w:vMerge/>
          </w:tcPr>
          <w:p w14:paraId="643C3168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74403C3E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5F541214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使用扬尘在线监测设备对现场扬尘情况进行实时监测，并在现场显示监测数据</w:t>
            </w:r>
          </w:p>
        </w:tc>
        <w:tc>
          <w:tcPr>
            <w:tcW w:w="1701" w:type="dxa"/>
            <w:gridSpan w:val="2"/>
          </w:tcPr>
          <w:p w14:paraId="37467756" w14:textId="77777777" w:rsidR="0065422D" w:rsidRDefault="00000000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符合□不符合□</w:t>
            </w:r>
          </w:p>
        </w:tc>
      </w:tr>
      <w:tr w:rsidR="0065422D" w14:paraId="58A34277" w14:textId="77777777">
        <w:tc>
          <w:tcPr>
            <w:tcW w:w="715" w:type="dxa"/>
            <w:vMerge w:val="restart"/>
          </w:tcPr>
          <w:p w14:paraId="25B0FA80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vMerge w:val="restart"/>
          </w:tcPr>
          <w:p w14:paraId="489A7D93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评分项目</w:t>
            </w:r>
          </w:p>
          <w:p w14:paraId="1186C630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  <w:vMerge w:val="restart"/>
          </w:tcPr>
          <w:p w14:paraId="7A6DD010" w14:textId="77777777" w:rsidR="0065422D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扣分标准</w:t>
            </w:r>
          </w:p>
        </w:tc>
        <w:tc>
          <w:tcPr>
            <w:tcW w:w="1701" w:type="dxa"/>
            <w:gridSpan w:val="2"/>
          </w:tcPr>
          <w:p w14:paraId="1AE830C2" w14:textId="77777777" w:rsidR="0065422D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评价得分</w:t>
            </w:r>
          </w:p>
        </w:tc>
      </w:tr>
      <w:tr w:rsidR="0065422D" w14:paraId="31E6E6DF" w14:textId="77777777">
        <w:tc>
          <w:tcPr>
            <w:tcW w:w="715" w:type="dxa"/>
            <w:vMerge/>
          </w:tcPr>
          <w:p w14:paraId="0A39ADB8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29" w:type="dxa"/>
            <w:vMerge/>
          </w:tcPr>
          <w:p w14:paraId="61CA2131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  <w:vMerge/>
          </w:tcPr>
          <w:p w14:paraId="22683B3B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13B50587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应得分</w:t>
            </w:r>
          </w:p>
        </w:tc>
        <w:tc>
          <w:tcPr>
            <w:tcW w:w="850" w:type="dxa"/>
          </w:tcPr>
          <w:p w14:paraId="22A1BD46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实得分</w:t>
            </w:r>
          </w:p>
        </w:tc>
      </w:tr>
      <w:tr w:rsidR="0065422D" w14:paraId="1D69A70F" w14:textId="77777777">
        <w:trPr>
          <w:trHeight w:val="574"/>
        </w:trPr>
        <w:tc>
          <w:tcPr>
            <w:tcW w:w="715" w:type="dxa"/>
          </w:tcPr>
          <w:p w14:paraId="0233B495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</w:tcPr>
          <w:p w14:paraId="14A37B1E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现场围挡与封闭管理</w:t>
            </w:r>
          </w:p>
        </w:tc>
        <w:tc>
          <w:tcPr>
            <w:tcW w:w="5386" w:type="dxa"/>
          </w:tcPr>
          <w:p w14:paraId="56AD6D0B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工地围档的设置高度未符合相关要求，扣10分</w:t>
            </w:r>
          </w:p>
          <w:p w14:paraId="563D1AA2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围档坚固、稳定、整洁、美观性未符合要求，每项或每处扣2分</w:t>
            </w:r>
          </w:p>
          <w:p w14:paraId="5ED1D65B" w14:textId="77777777" w:rsidR="00CE45AA" w:rsidRPr="00CE45AA" w:rsidRDefault="00CE45AA" w:rsidP="00CE45AA">
            <w:pPr>
              <w:rPr>
                <w:rFonts w:ascii="宋体" w:eastAsia="宋体" w:hAnsi="宋体" w:cs="Times New Roman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现场主要</w:t>
            </w:r>
            <w:proofErr w:type="gramStart"/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围档未使用</w:t>
            </w:r>
            <w:proofErr w:type="gramEnd"/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工具化、定型化围挡，扣5分</w:t>
            </w:r>
          </w:p>
          <w:p w14:paraId="33195A38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施工现场进出口未设置大门，扣10分</w:t>
            </w:r>
          </w:p>
          <w:p w14:paraId="6EA6E52A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未设置门卫值班室、建立值班制度、配备门卫值班人员，每项扣3分</w:t>
            </w:r>
          </w:p>
          <w:p w14:paraId="41DC06ED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出入口未设置人车分离，3分</w:t>
            </w:r>
          </w:p>
          <w:p w14:paraId="31027695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施工现场出人口未标有企业名称或标识，扣2分</w:t>
            </w:r>
          </w:p>
          <w:p w14:paraId="5019E1EA" w14:textId="468C0CB8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且未设置车辆冲洗设施，扣3分</w:t>
            </w:r>
          </w:p>
        </w:tc>
        <w:tc>
          <w:tcPr>
            <w:tcW w:w="851" w:type="dxa"/>
          </w:tcPr>
          <w:p w14:paraId="2B2A2EF2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0C57BFE7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65422D" w14:paraId="1B1C7D02" w14:textId="77777777">
        <w:tc>
          <w:tcPr>
            <w:tcW w:w="715" w:type="dxa"/>
          </w:tcPr>
          <w:p w14:paraId="1781BFC0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29" w:type="dxa"/>
          </w:tcPr>
          <w:p w14:paraId="67A5EAD6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工程整体形象</w:t>
            </w:r>
          </w:p>
        </w:tc>
        <w:tc>
          <w:tcPr>
            <w:tcW w:w="5386" w:type="dxa"/>
          </w:tcPr>
          <w:p w14:paraId="7285FEFD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现场不整洁、防护不严密、标识标牌不醒目美观、安全宣传氛围不浓厚、企业文化不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突出扣</w:t>
            </w:r>
            <w:proofErr w:type="gramEnd"/>
            <w:r w:rsidRPr="00CE45AA">
              <w:rPr>
                <w:rFonts w:ascii="宋体" w:eastAsia="宋体" w:hAnsi="宋体" w:hint="eastAsia"/>
                <w:szCs w:val="21"/>
              </w:rPr>
              <w:t>3分/项</w:t>
            </w:r>
          </w:p>
          <w:p w14:paraId="179B7E62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大门口处设置的“五牌一图”内容不全扣2分</w:t>
            </w:r>
          </w:p>
          <w:p w14:paraId="76328CF7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标牌不规范、不整齐扣3分</w:t>
            </w:r>
          </w:p>
          <w:p w14:paraId="79040025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未张挂安全标语扣5分</w:t>
            </w:r>
          </w:p>
          <w:p w14:paraId="26C48CB6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未设置宣传栏、读报栏、黑板报扣4分</w:t>
            </w:r>
          </w:p>
          <w:p w14:paraId="34292AFD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未使用定型化、工具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化安全</w:t>
            </w:r>
            <w:proofErr w:type="gramEnd"/>
            <w:r w:rsidRPr="00CE45AA">
              <w:rPr>
                <w:rFonts w:ascii="宋体" w:eastAsia="宋体" w:hAnsi="宋体" w:hint="eastAsia"/>
                <w:szCs w:val="21"/>
              </w:rPr>
              <w:t>防护设施扣5分</w:t>
            </w:r>
          </w:p>
        </w:tc>
        <w:tc>
          <w:tcPr>
            <w:tcW w:w="851" w:type="dxa"/>
          </w:tcPr>
          <w:p w14:paraId="1B8DF118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F66F046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65422D" w14:paraId="5288E2B7" w14:textId="77777777">
        <w:tc>
          <w:tcPr>
            <w:tcW w:w="715" w:type="dxa"/>
          </w:tcPr>
          <w:p w14:paraId="2EF46575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</w:tcPr>
          <w:p w14:paraId="70E50807" w14:textId="77777777" w:rsidR="0065422D" w:rsidRPr="00CE45AA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施工场地</w:t>
            </w:r>
          </w:p>
        </w:tc>
        <w:tc>
          <w:tcPr>
            <w:tcW w:w="5386" w:type="dxa"/>
          </w:tcPr>
          <w:p w14:paraId="1127B4D5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施工现场的主要道路及材料堆放区、加工区地面未进行硬化处理，每项扣3分</w:t>
            </w:r>
          </w:p>
          <w:p w14:paraId="3B5110B8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施工现场道路不畅通，路面不平整坚实，扣5分</w:t>
            </w:r>
          </w:p>
          <w:p w14:paraId="2FFB254E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施工现场未设置排水设施或排水不通畅，有积水，扣5分</w:t>
            </w:r>
          </w:p>
          <w:p w14:paraId="50D2FF98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施工现场未有防止泥浆、污水、废水污染环境的措施，扣2-10分</w:t>
            </w:r>
          </w:p>
          <w:p w14:paraId="49A45764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施工现场未设置专门的吸烟处，随意吸烟，扣5分</w:t>
            </w:r>
          </w:p>
          <w:p w14:paraId="6EF99E74" w14:textId="40B963C1" w:rsidR="0065422D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施工现场未合理规划且未有绿化布置，扣3分</w:t>
            </w:r>
          </w:p>
        </w:tc>
        <w:tc>
          <w:tcPr>
            <w:tcW w:w="851" w:type="dxa"/>
          </w:tcPr>
          <w:p w14:paraId="34183F8E" w14:textId="77777777" w:rsidR="0065422D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214AED93" w14:textId="77777777" w:rsidR="0065422D" w:rsidRDefault="0065422D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55D4FB95" w14:textId="77777777">
        <w:tc>
          <w:tcPr>
            <w:tcW w:w="715" w:type="dxa"/>
          </w:tcPr>
          <w:p w14:paraId="686E56CD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29" w:type="dxa"/>
          </w:tcPr>
          <w:p w14:paraId="6C04EBE2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现场材料与工完场清</w:t>
            </w:r>
          </w:p>
        </w:tc>
        <w:tc>
          <w:tcPr>
            <w:tcW w:w="5386" w:type="dxa"/>
          </w:tcPr>
          <w:p w14:paraId="4493CA4F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建筑材料、构件、料具未按总平面布局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码放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，每项或每处扣2分</w:t>
            </w:r>
          </w:p>
          <w:p w14:paraId="74C4FF5B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材料码放不整齐，未标明名称、规格或未设置标识牌，每处扣2分</w:t>
            </w:r>
          </w:p>
          <w:p w14:paraId="44852AEA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施工现场材料存放未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采取防火、防锈蚀、防雨措施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，扣3-10分</w:t>
            </w:r>
          </w:p>
          <w:p w14:paraId="2AA5B5C6" w14:textId="43CC195E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建筑物内施工垃圾的清运未使用器其或管道运输，扣5分</w:t>
            </w:r>
          </w:p>
        </w:tc>
        <w:tc>
          <w:tcPr>
            <w:tcW w:w="851" w:type="dxa"/>
          </w:tcPr>
          <w:p w14:paraId="344F639A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0" w:type="dxa"/>
          </w:tcPr>
          <w:p w14:paraId="64ACD785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26626982" w14:textId="77777777">
        <w:tc>
          <w:tcPr>
            <w:tcW w:w="715" w:type="dxa"/>
          </w:tcPr>
          <w:p w14:paraId="66C45D0A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129" w:type="dxa"/>
          </w:tcPr>
          <w:p w14:paraId="163247A4" w14:textId="1C09F064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现场办公与住宿和临时设施</w:t>
            </w:r>
          </w:p>
        </w:tc>
        <w:tc>
          <w:tcPr>
            <w:tcW w:w="5386" w:type="dxa"/>
          </w:tcPr>
          <w:p w14:paraId="14324855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施工作业区、材料存放区与办公、生活区未采取隔离措施，扣6分</w:t>
            </w:r>
          </w:p>
          <w:p w14:paraId="6DF95CF3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未设置医务室或未按要求配备担架及急救物品，扣3分</w:t>
            </w:r>
          </w:p>
          <w:p w14:paraId="126FD1FD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临时用房内设置的库房和会议室未设在首层。每项扣2分</w:t>
            </w:r>
          </w:p>
          <w:p w14:paraId="66D78630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宿舍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设置可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开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启式窗户，扣4分</w:t>
            </w:r>
          </w:p>
          <w:p w14:paraId="7543D0E0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宿舍未设置床铺、床铺超过2层或通道宽度小于0.9m，扣2--6分</w:t>
            </w:r>
          </w:p>
          <w:p w14:paraId="45B121BA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宿舍人均面积或人员数量不符合规范要求，扣5分</w:t>
            </w:r>
          </w:p>
          <w:p w14:paraId="3767BC41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宿舍内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未有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防蚊蝇措施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，未配备空调，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扣5分</w:t>
            </w:r>
          </w:p>
          <w:p w14:paraId="1DB74684" w14:textId="77777777" w:rsidR="00CE45AA" w:rsidRPr="00CE45AA" w:rsidRDefault="00CE45AA" w:rsidP="00CE45AA">
            <w:pPr>
              <w:rPr>
                <w:rFonts w:ascii="宋体" w:eastAsia="宋体" w:hAnsi="宋体" w:cs="Times New Roman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生活用品摆放混乱、环境卫生不符合要求。扣3分</w:t>
            </w:r>
          </w:p>
          <w:p w14:paraId="1B1901B5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未建立卫生责任制度，扣5分</w:t>
            </w:r>
          </w:p>
          <w:p w14:paraId="296348BC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proofErr w:type="gramStart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食室与</w:t>
            </w:r>
            <w:proofErr w:type="gramEnd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厕所、垃圾站、有毒有害场所的距离不符合规范要求，扣2~6分</w:t>
            </w:r>
          </w:p>
          <w:p w14:paraId="60EA0ED0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食堂应不符合食品经营相关规定，炊事人员未持有健康证，未穿戴工作服上岗，扣2-5分</w:t>
            </w:r>
          </w:p>
          <w:p w14:paraId="0E473C73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食堂使用的</w:t>
            </w:r>
            <w:proofErr w:type="gramStart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燃气罐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单独</w:t>
            </w:r>
            <w:proofErr w:type="gramEnd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设置存放间或</w:t>
            </w:r>
            <w:proofErr w:type="gramStart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存放间</w:t>
            </w:r>
            <w:proofErr w:type="gramEnd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通风条件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不良或未安装燃气报警装置，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扣2~4分</w:t>
            </w:r>
          </w:p>
          <w:p w14:paraId="5DE6B70E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食堂未配备排风、冷藏、消毒、防鼠、防蚊蝇等设施，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每项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扣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2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分</w:t>
            </w:r>
          </w:p>
          <w:p w14:paraId="77098586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厕所内的设施数量和布局不符合规范要求，扣2~6分</w:t>
            </w:r>
          </w:p>
          <w:p w14:paraId="43546608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color w:val="000000" w:themeColor="text1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厕所卫生未达到规定要求，扣4分</w:t>
            </w:r>
          </w:p>
          <w:p w14:paraId="17DB2098" w14:textId="198CF78D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不能保证现场人员卫生饮水，</w:t>
            </w:r>
            <w:r w:rsidRPr="00CE45AA">
              <w:rPr>
                <w:rFonts w:ascii="宋体" w:eastAsia="宋体" w:hAnsi="宋体" w:cs="Times New Roman" w:hint="eastAsia"/>
                <w:color w:val="000000" w:themeColor="text1"/>
                <w:spacing w:val="2"/>
                <w:kern w:val="0"/>
                <w:szCs w:val="21"/>
              </w:rPr>
              <w:t>未设置直饮水机，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扣5分</w:t>
            </w:r>
          </w:p>
          <w:p w14:paraId="4C7E18F9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color w:val="000000" w:themeColor="text1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未设置淋浴室或淋浴</w:t>
            </w:r>
            <w:proofErr w:type="gramStart"/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室不能</w:t>
            </w:r>
            <w:proofErr w:type="gramEnd"/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满足现场人员需求，扣4分</w:t>
            </w:r>
          </w:p>
          <w:p w14:paraId="6E8054A5" w14:textId="1C90D350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生活垃圾未</w:t>
            </w:r>
            <w:r w:rsidRPr="00CE45AA">
              <w:rPr>
                <w:rFonts w:ascii="宋体" w:eastAsia="宋体" w:hAnsi="宋体" w:cs="Times New Roman" w:hint="eastAsia"/>
                <w:color w:val="000000" w:themeColor="text1"/>
                <w:spacing w:val="2"/>
                <w:kern w:val="0"/>
                <w:szCs w:val="21"/>
              </w:rPr>
              <w:t>设置封闭</w:t>
            </w:r>
            <w:r w:rsidRPr="00CE45AA">
              <w:rPr>
                <w:rFonts w:ascii="宋体" w:eastAsia="宋体" w:hAnsi="宋体" w:cs="Times New Roman"/>
                <w:color w:val="000000" w:themeColor="text1"/>
                <w:spacing w:val="2"/>
                <w:kern w:val="0"/>
                <w:szCs w:val="21"/>
              </w:rPr>
              <w:t>容器或未及时清理，扣3~5分</w:t>
            </w:r>
          </w:p>
        </w:tc>
        <w:tc>
          <w:tcPr>
            <w:tcW w:w="851" w:type="dxa"/>
          </w:tcPr>
          <w:p w14:paraId="04591CA7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850" w:type="dxa"/>
          </w:tcPr>
          <w:p w14:paraId="69ACD489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7840BC82" w14:textId="77777777">
        <w:tc>
          <w:tcPr>
            <w:tcW w:w="715" w:type="dxa"/>
          </w:tcPr>
          <w:p w14:paraId="28765C9F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</w:tcPr>
          <w:p w14:paraId="5FCC02AC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治安综合治理</w:t>
            </w:r>
          </w:p>
        </w:tc>
        <w:tc>
          <w:tcPr>
            <w:tcW w:w="5386" w:type="dxa"/>
          </w:tcPr>
          <w:p w14:paraId="285BCBA7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未建立治安保卫制度、责任未分解到人扣3～5分</w:t>
            </w:r>
          </w:p>
          <w:p w14:paraId="3D599057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治安防范措施不利，常发生失盗事件扣3～5分</w:t>
            </w:r>
          </w:p>
        </w:tc>
        <w:tc>
          <w:tcPr>
            <w:tcW w:w="851" w:type="dxa"/>
          </w:tcPr>
          <w:p w14:paraId="07B6C640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09E02D91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51B974FE" w14:textId="77777777">
        <w:tc>
          <w:tcPr>
            <w:tcW w:w="715" w:type="dxa"/>
          </w:tcPr>
          <w:p w14:paraId="668CC734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29" w:type="dxa"/>
          </w:tcPr>
          <w:p w14:paraId="75C41492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保健急救</w:t>
            </w:r>
          </w:p>
          <w:p w14:paraId="41C2F905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61F58C1B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未制定急救应急预案，或预案实际操作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性差扣6分</w:t>
            </w:r>
            <w:proofErr w:type="gramEnd"/>
          </w:p>
          <w:p w14:paraId="47B42FDB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未设置经培训的急救人员或未设置急救器材扣4分</w:t>
            </w:r>
          </w:p>
          <w:p w14:paraId="3DCBF534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未开展卫生防病宣传教育、未提供必备防护用品扣4分</w:t>
            </w:r>
          </w:p>
          <w:p w14:paraId="0E36797A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未设置保健医药箱扣5分</w:t>
            </w:r>
          </w:p>
        </w:tc>
        <w:tc>
          <w:tcPr>
            <w:tcW w:w="851" w:type="dxa"/>
          </w:tcPr>
          <w:p w14:paraId="50802024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5E5DDB78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2B1CE939" w14:textId="77777777">
        <w:tc>
          <w:tcPr>
            <w:tcW w:w="715" w:type="dxa"/>
          </w:tcPr>
          <w:p w14:paraId="52CA0B6A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29" w:type="dxa"/>
          </w:tcPr>
          <w:p w14:paraId="2C24C4DD" w14:textId="5C707E9A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对周边影响控制</w:t>
            </w:r>
          </w:p>
        </w:tc>
        <w:tc>
          <w:tcPr>
            <w:tcW w:w="5386" w:type="dxa"/>
          </w:tcPr>
          <w:p w14:paraId="57FF9C8E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夜间施工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未取得夜间施工许可就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进行施工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，扣8分</w:t>
            </w:r>
          </w:p>
          <w:p w14:paraId="0425D12D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施工现场焚烧各类废弃物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，扣8分</w:t>
            </w:r>
          </w:p>
          <w:p w14:paraId="39D659CE" w14:textId="77777777" w:rsidR="00CE45AA" w:rsidRPr="00CE45AA" w:rsidRDefault="00CE45AA" w:rsidP="00CE45AA">
            <w:pPr>
              <w:jc w:val="left"/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</w:pP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施工现场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制定防粉尘、防噪声、防光污染等措施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，扣5分</w:t>
            </w:r>
          </w:p>
          <w:p w14:paraId="55F118C8" w14:textId="6F3FFEFD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未</w:t>
            </w:r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制定施工</w:t>
            </w:r>
            <w:proofErr w:type="gramStart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不</w:t>
            </w:r>
            <w:proofErr w:type="gramEnd"/>
            <w:r w:rsidRPr="00CE45AA">
              <w:rPr>
                <w:rFonts w:ascii="宋体" w:eastAsia="宋体" w:hAnsi="宋体" w:cs="Times New Roman"/>
                <w:spacing w:val="2"/>
                <w:kern w:val="0"/>
                <w:szCs w:val="21"/>
              </w:rPr>
              <w:t>扰民措施</w:t>
            </w:r>
            <w:r w:rsidRPr="00CE45AA">
              <w:rPr>
                <w:rFonts w:ascii="宋体" w:eastAsia="宋体" w:hAnsi="宋体" w:cs="Times New Roman" w:hint="eastAsia"/>
                <w:spacing w:val="2"/>
                <w:kern w:val="0"/>
                <w:szCs w:val="21"/>
              </w:rPr>
              <w:t>，扣5分</w:t>
            </w:r>
          </w:p>
        </w:tc>
        <w:tc>
          <w:tcPr>
            <w:tcW w:w="851" w:type="dxa"/>
          </w:tcPr>
          <w:p w14:paraId="5651E2DE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0" w:type="dxa"/>
          </w:tcPr>
          <w:p w14:paraId="1E793618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23E084DD" w14:textId="77777777">
        <w:tc>
          <w:tcPr>
            <w:tcW w:w="715" w:type="dxa"/>
          </w:tcPr>
          <w:p w14:paraId="0F2BF385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29" w:type="dxa"/>
          </w:tcPr>
          <w:p w14:paraId="2429F78E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绿色施工</w:t>
            </w:r>
          </w:p>
        </w:tc>
        <w:tc>
          <w:tcPr>
            <w:tcW w:w="5386" w:type="dxa"/>
          </w:tcPr>
          <w:p w14:paraId="019DBEFD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未编制绿色施工专项施工方案、未建立绿色施工管理体系，、未制定管理制度，未实施目标管理扣5-8分</w:t>
            </w:r>
          </w:p>
          <w:p w14:paraId="1D42920A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现场未建立雨水、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养护水</w:t>
            </w:r>
            <w:proofErr w:type="gramEnd"/>
            <w:r w:rsidRPr="00CE45AA">
              <w:rPr>
                <w:rFonts w:ascii="宋体" w:eastAsia="宋体" w:hAnsi="宋体" w:hint="eastAsia"/>
                <w:szCs w:val="21"/>
              </w:rPr>
              <w:t>等回收循环利用措施扣3-5分</w:t>
            </w:r>
          </w:p>
          <w:p w14:paraId="5A83BCCF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施工现场临时厕所的化粪池未进行防渗漏处理、未定期清运和消毒扣3分</w:t>
            </w:r>
          </w:p>
          <w:p w14:paraId="3BCB6FC9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施工现场存放的油料和化学梅剂等物品未设置专用库房、地面未进行防渗漏处理;施工现场油料、化学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洛</w:t>
            </w:r>
            <w:proofErr w:type="gramEnd"/>
            <w:r w:rsidRPr="00CE45AA">
              <w:rPr>
                <w:rFonts w:ascii="宋体" w:eastAsia="宋体" w:hAnsi="宋体" w:hint="eastAsia"/>
                <w:szCs w:val="21"/>
              </w:rPr>
              <w:t>剂等废物未按照有关规定处理扣3-8分</w:t>
            </w:r>
          </w:p>
          <w:p w14:paraId="6E96E6F3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lastRenderedPageBreak/>
              <w:t>现场未选用低噪声、低振动设备;邻近居民区使用强噪音设备或未采用隔声、吸声材料搭设防护棚或屏障扣5-8分</w:t>
            </w:r>
          </w:p>
          <w:p w14:paraId="51428946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夜间施工未加强噪声控制扣2-5分</w:t>
            </w:r>
          </w:p>
          <w:p w14:paraId="790ACBF0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对强光作业和照明灯具未采取遮挡措施扣2分</w:t>
            </w:r>
          </w:p>
        </w:tc>
        <w:tc>
          <w:tcPr>
            <w:tcW w:w="851" w:type="dxa"/>
          </w:tcPr>
          <w:p w14:paraId="2E3EAFB9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</w:p>
        </w:tc>
        <w:tc>
          <w:tcPr>
            <w:tcW w:w="850" w:type="dxa"/>
          </w:tcPr>
          <w:p w14:paraId="35E817A9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632935B1" w14:textId="77777777">
        <w:tc>
          <w:tcPr>
            <w:tcW w:w="715" w:type="dxa"/>
          </w:tcPr>
          <w:p w14:paraId="7FA03A94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129" w:type="dxa"/>
          </w:tcPr>
          <w:p w14:paraId="4ABE2504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扬尘防治</w:t>
            </w:r>
          </w:p>
          <w:p w14:paraId="40F42C56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5386" w:type="dxa"/>
          </w:tcPr>
          <w:p w14:paraId="4A351A21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未按要求建立施工扬尘污染防治管理组织、未按规定配备扬尘污染防治专职或兼职管理人员扣5-8分</w:t>
            </w:r>
          </w:p>
          <w:p w14:paraId="2E1AB939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未制定扬尘污染防治措施、未对作业人员进行扬尘污染防治的培训教育扣5分</w:t>
            </w:r>
          </w:p>
          <w:p w14:paraId="4003A963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车辆出入口未设置车辆自动冲洗平台扣3-5分</w:t>
            </w:r>
          </w:p>
          <w:p w14:paraId="3697BF12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未设置喷雾水系统等综合降尘措施扣3-5分</w:t>
            </w:r>
          </w:p>
          <w:p w14:paraId="5EF7C6E7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现场未使用预拌混凝土和预拌砂浆扣5分</w:t>
            </w:r>
          </w:p>
          <w:p w14:paraId="5624BFD5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建筑物内垃圾未采用容器或搭设专用封闭式垃圾道的方式清运扣5分</w:t>
            </w:r>
          </w:p>
          <w:p w14:paraId="65B88978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现场裸露的场地和集中堆放的土方以及易产生扬尘的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物料未</w:t>
            </w:r>
            <w:proofErr w:type="gramEnd"/>
            <w:r w:rsidRPr="00CE45AA">
              <w:rPr>
                <w:rFonts w:ascii="宋体" w:eastAsia="宋体" w:hAnsi="宋体" w:hint="eastAsia"/>
                <w:szCs w:val="21"/>
              </w:rPr>
              <w:t>采取覆盖等</w:t>
            </w:r>
            <w:proofErr w:type="gramStart"/>
            <w:r w:rsidRPr="00CE45AA">
              <w:rPr>
                <w:rFonts w:ascii="宋体" w:eastAsia="宋体" w:hAnsi="宋体" w:hint="eastAsia"/>
                <w:szCs w:val="21"/>
              </w:rPr>
              <w:t>措施场扣</w:t>
            </w:r>
            <w:proofErr w:type="gramEnd"/>
            <w:r w:rsidRPr="00CE45AA">
              <w:rPr>
                <w:rFonts w:ascii="宋体" w:eastAsia="宋体" w:hAnsi="宋体" w:hint="eastAsia"/>
                <w:szCs w:val="21"/>
              </w:rPr>
              <w:t>5分</w:t>
            </w:r>
          </w:p>
          <w:p w14:paraId="7234D695" w14:textId="77777777" w:rsidR="00CE45AA" w:rsidRP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 w:rsidRPr="00CE45AA">
              <w:rPr>
                <w:rFonts w:ascii="宋体" w:eastAsia="宋体" w:hAnsi="宋体" w:hint="eastAsia"/>
                <w:szCs w:val="21"/>
              </w:rPr>
              <w:t>现场焚烧各类废弃物扣5分</w:t>
            </w:r>
          </w:p>
        </w:tc>
        <w:tc>
          <w:tcPr>
            <w:tcW w:w="851" w:type="dxa"/>
          </w:tcPr>
          <w:p w14:paraId="5ECF5F1C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850" w:type="dxa"/>
          </w:tcPr>
          <w:p w14:paraId="54809035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CE45AA" w14:paraId="26A8D7E8" w14:textId="77777777">
        <w:tc>
          <w:tcPr>
            <w:tcW w:w="1844" w:type="dxa"/>
            <w:gridSpan w:val="2"/>
          </w:tcPr>
          <w:p w14:paraId="69C6BB8F" w14:textId="77777777" w:rsidR="00CE45AA" w:rsidRDefault="00CE45AA" w:rsidP="00CE45AA">
            <w:pPr>
              <w:rPr>
                <w:rFonts w:hint="eastAsia"/>
              </w:rPr>
            </w:pPr>
            <w:r>
              <w:rPr>
                <w:rFonts w:hint="eastAsia"/>
              </w:rPr>
              <w:t>评价项目合计</w:t>
            </w:r>
          </w:p>
        </w:tc>
        <w:tc>
          <w:tcPr>
            <w:tcW w:w="5386" w:type="dxa"/>
          </w:tcPr>
          <w:p w14:paraId="08164088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851" w:type="dxa"/>
          </w:tcPr>
          <w:p w14:paraId="58B6643E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100</w:t>
            </w:r>
          </w:p>
        </w:tc>
        <w:tc>
          <w:tcPr>
            <w:tcW w:w="850" w:type="dxa"/>
          </w:tcPr>
          <w:p w14:paraId="68307942" w14:textId="77777777" w:rsidR="00CE45AA" w:rsidRDefault="00CE45AA" w:rsidP="00CE45AA">
            <w:pPr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57B708CF" w14:textId="77777777" w:rsidR="0065422D" w:rsidRDefault="0065422D">
      <w:pPr>
        <w:rPr>
          <w:rFonts w:hint="eastAsia"/>
        </w:rPr>
      </w:pPr>
    </w:p>
    <w:p w14:paraId="187213FD" w14:textId="77777777" w:rsidR="0065422D" w:rsidRDefault="0065422D">
      <w:pPr>
        <w:rPr>
          <w:rFonts w:hint="eastAsia"/>
          <w:color w:val="FF0000"/>
          <w:sz w:val="32"/>
          <w:szCs w:val="32"/>
        </w:rPr>
      </w:pPr>
    </w:p>
    <w:sectPr w:rsidR="00654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94C79" w14:textId="77777777" w:rsidR="008D4B6B" w:rsidRDefault="008D4B6B" w:rsidP="003C58BA">
      <w:pPr>
        <w:rPr>
          <w:rFonts w:hint="eastAsia"/>
        </w:rPr>
      </w:pPr>
      <w:r>
        <w:separator/>
      </w:r>
    </w:p>
  </w:endnote>
  <w:endnote w:type="continuationSeparator" w:id="0">
    <w:p w14:paraId="4008630D" w14:textId="77777777" w:rsidR="008D4B6B" w:rsidRDefault="008D4B6B" w:rsidP="003C58B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3501" w14:textId="77777777" w:rsidR="008D4B6B" w:rsidRDefault="008D4B6B" w:rsidP="003C58BA">
      <w:pPr>
        <w:rPr>
          <w:rFonts w:hint="eastAsia"/>
        </w:rPr>
      </w:pPr>
      <w:r>
        <w:separator/>
      </w:r>
    </w:p>
  </w:footnote>
  <w:footnote w:type="continuationSeparator" w:id="0">
    <w:p w14:paraId="3FDB05AA" w14:textId="77777777" w:rsidR="008D4B6B" w:rsidRDefault="008D4B6B" w:rsidP="003C58B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8C4"/>
    <w:rsid w:val="000E6D0C"/>
    <w:rsid w:val="001139C4"/>
    <w:rsid w:val="001407D1"/>
    <w:rsid w:val="00320A93"/>
    <w:rsid w:val="003848C4"/>
    <w:rsid w:val="003C58BA"/>
    <w:rsid w:val="00414D65"/>
    <w:rsid w:val="0059420E"/>
    <w:rsid w:val="0065422D"/>
    <w:rsid w:val="0081448C"/>
    <w:rsid w:val="00865EFE"/>
    <w:rsid w:val="008A27ED"/>
    <w:rsid w:val="008D4B6B"/>
    <w:rsid w:val="009544F1"/>
    <w:rsid w:val="00963638"/>
    <w:rsid w:val="00AC7E4B"/>
    <w:rsid w:val="00AF0495"/>
    <w:rsid w:val="00CE45AA"/>
    <w:rsid w:val="00DC312A"/>
    <w:rsid w:val="00E13722"/>
    <w:rsid w:val="00EA192E"/>
    <w:rsid w:val="00EF0CC2"/>
    <w:rsid w:val="00F05F59"/>
    <w:rsid w:val="17966920"/>
    <w:rsid w:val="27520F90"/>
    <w:rsid w:val="2FD104BF"/>
    <w:rsid w:val="52FD70E0"/>
    <w:rsid w:val="61BA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DAC640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3C58B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3C58BA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styleId="af">
    <w:name w:val="footer"/>
    <w:basedOn w:val="a"/>
    <w:link w:val="af0"/>
    <w:uiPriority w:val="99"/>
    <w:unhideWhenUsed/>
    <w:rsid w:val="003C5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3C58BA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1056</Words>
  <Characters>1079</Characters>
  <Application>Microsoft Office Word</Application>
  <DocSecurity>0</DocSecurity>
  <Lines>107</Lines>
  <Paragraphs>133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吴航</dc:creator>
  <cp:lastModifiedBy>吴航</cp:lastModifiedBy>
  <cp:revision>6</cp:revision>
  <dcterms:created xsi:type="dcterms:W3CDTF">2025-04-29T00:36:00Z</dcterms:created>
  <dcterms:modified xsi:type="dcterms:W3CDTF">2025-05-16T07:26:00Z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A436A810FE7C451E948DEDB147E49582_13</vt:lpwstr>
  </property>
</Properties>
</file>